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rednjesjenanje1-Isticanje1"/>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tblPr>
      <w:tblGrid>
        <w:gridCol w:w="14220"/>
      </w:tblGrid>
      <w:tr w:rsidR="003D16B0" w:rsidRPr="000C6236" w:rsidTr="009D32A8">
        <w:trPr>
          <w:cnfStyle w:val="100000000000"/>
          <w:trHeight w:hRule="exact" w:val="567"/>
        </w:trPr>
        <w:tc>
          <w:tcPr>
            <w:cnfStyle w:val="001000000000"/>
            <w:tcW w:w="14220" w:type="dxa"/>
            <w:tcBorders>
              <w:bottom w:val="single" w:sz="8" w:space="0" w:color="365F91" w:themeColor="accent1" w:themeShade="BF"/>
            </w:tcBorders>
            <w:shd w:val="clear" w:color="auto" w:fill="95B3D7" w:themeFill="accent1" w:themeFillTint="99"/>
            <w:vAlign w:val="center"/>
          </w:tcPr>
          <w:p w:rsidR="003D16B0" w:rsidRPr="000C6236" w:rsidRDefault="003D16B0" w:rsidP="009D32A8">
            <w:pPr>
              <w:jc w:val="center"/>
              <w:rPr>
                <w:color w:val="auto"/>
                <w:sz w:val="24"/>
                <w:szCs w:val="24"/>
              </w:rPr>
            </w:pPr>
            <w:r w:rsidRPr="000C6236">
              <w:rPr>
                <w:color w:val="auto"/>
                <w:sz w:val="24"/>
                <w:szCs w:val="24"/>
              </w:rPr>
              <w:t>SAVJETOVANJE SA ZAINTERESIRANOM JAVNOŠĆU</w:t>
            </w:r>
          </w:p>
        </w:tc>
      </w:tr>
      <w:tr w:rsidR="003D16B0" w:rsidRPr="000C6236" w:rsidTr="009D32A8">
        <w:trPr>
          <w:cnfStyle w:val="000000100000"/>
          <w:trHeight w:hRule="exact" w:val="567"/>
        </w:trPr>
        <w:tc>
          <w:tcPr>
            <w:cnfStyle w:val="001000000000"/>
            <w:tcW w:w="14220" w:type="dxa"/>
            <w:shd w:val="clear" w:color="auto" w:fill="auto"/>
            <w:vAlign w:val="center"/>
          </w:tcPr>
          <w:p w:rsidR="003D16B0" w:rsidRPr="000C6236" w:rsidRDefault="003D16B0" w:rsidP="003D16B0">
            <w:pPr>
              <w:jc w:val="center"/>
              <w:rPr>
                <w:i/>
                <w:sz w:val="24"/>
                <w:szCs w:val="24"/>
              </w:rPr>
            </w:pPr>
            <w:r w:rsidRPr="000C6236">
              <w:rPr>
                <w:i/>
                <w:sz w:val="24"/>
                <w:szCs w:val="24"/>
              </w:rPr>
              <w:t xml:space="preserve">Nacrt prijedloga </w:t>
            </w:r>
            <w:r>
              <w:rPr>
                <w:i/>
                <w:sz w:val="24"/>
                <w:szCs w:val="24"/>
              </w:rPr>
              <w:t>Zakona o izmjenama i dopunama Zakona o državnom odvjetništvu</w:t>
            </w:r>
          </w:p>
        </w:tc>
      </w:tr>
      <w:tr w:rsidR="003D16B0" w:rsidRPr="000C6236" w:rsidTr="009D32A8">
        <w:trPr>
          <w:cnfStyle w:val="000000010000"/>
        </w:trPr>
        <w:tc>
          <w:tcPr>
            <w:cnfStyle w:val="001000000000"/>
            <w:tcW w:w="14220" w:type="dxa"/>
            <w:vAlign w:val="center"/>
          </w:tcPr>
          <w:p w:rsidR="003D16B0" w:rsidRPr="000C6236" w:rsidRDefault="003D16B0" w:rsidP="00547C50">
            <w:pPr>
              <w:jc w:val="both"/>
              <w:rPr>
                <w:b w:val="0"/>
              </w:rPr>
            </w:pPr>
            <w:r w:rsidRPr="000C6236">
              <w:rPr>
                <w:b w:val="0"/>
              </w:rPr>
              <w:t xml:space="preserve">Ministarstvo pravosuđa objavljuje objedinjene primjedbe zaprimljene od strane predstavnika zainteresirane javnosti koji su dostavili primjedbe na Nacrt </w:t>
            </w:r>
            <w:r w:rsidRPr="006919F1">
              <w:rPr>
                <w:b w:val="0"/>
                <w:sz w:val="24"/>
                <w:szCs w:val="24"/>
              </w:rPr>
              <w:t xml:space="preserve">prijedloga Zakona o izmjenama i dopunama Zakona o </w:t>
            </w:r>
            <w:r>
              <w:rPr>
                <w:b w:val="0"/>
                <w:sz w:val="24"/>
                <w:szCs w:val="24"/>
              </w:rPr>
              <w:t>državnom odvjetništvu</w:t>
            </w:r>
            <w:r w:rsidRPr="000C6236">
              <w:rPr>
                <w:b w:val="0"/>
              </w:rPr>
              <w:t xml:space="preserve"> putem održanog internetskog javnog savjetovanja provedenog u razdoblju od </w:t>
            </w:r>
            <w:r>
              <w:rPr>
                <w:b w:val="0"/>
              </w:rPr>
              <w:t>9</w:t>
            </w:r>
            <w:r w:rsidRPr="000C6236">
              <w:rPr>
                <w:b w:val="0"/>
              </w:rPr>
              <w:t xml:space="preserve">. </w:t>
            </w:r>
            <w:r>
              <w:rPr>
                <w:b w:val="0"/>
              </w:rPr>
              <w:t>veljače</w:t>
            </w:r>
            <w:r w:rsidRPr="000C6236">
              <w:rPr>
                <w:b w:val="0"/>
              </w:rPr>
              <w:t>201</w:t>
            </w:r>
            <w:r>
              <w:rPr>
                <w:b w:val="0"/>
              </w:rPr>
              <w:t>5</w:t>
            </w:r>
            <w:r w:rsidRPr="000C6236">
              <w:rPr>
                <w:b w:val="0"/>
              </w:rPr>
              <w:t xml:space="preserve">. do </w:t>
            </w:r>
            <w:r>
              <w:rPr>
                <w:b w:val="0"/>
              </w:rPr>
              <w:t>11</w:t>
            </w:r>
            <w:r w:rsidRPr="000C6236">
              <w:rPr>
                <w:b w:val="0"/>
              </w:rPr>
              <w:t xml:space="preserve">. </w:t>
            </w:r>
            <w:r>
              <w:rPr>
                <w:b w:val="0"/>
              </w:rPr>
              <w:t xml:space="preserve">ožujka </w:t>
            </w:r>
            <w:r w:rsidRPr="000C6236">
              <w:rPr>
                <w:b w:val="0"/>
              </w:rPr>
              <w:t>201</w:t>
            </w:r>
            <w:r>
              <w:rPr>
                <w:b w:val="0"/>
              </w:rPr>
              <w:t>5</w:t>
            </w:r>
            <w:r w:rsidRPr="000C6236">
              <w:rPr>
                <w:b w:val="0"/>
              </w:rPr>
              <w:t>. te očitovanja o prihvaćanju/neprihvaćanju istih.</w:t>
            </w:r>
          </w:p>
        </w:tc>
      </w:tr>
    </w:tbl>
    <w:p w:rsidR="003D16B0" w:rsidRDefault="003D16B0" w:rsidP="003D16B0"/>
    <w:tbl>
      <w:tblPr>
        <w:tblStyle w:val="Reetkatablice"/>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816"/>
        <w:gridCol w:w="2421"/>
        <w:gridCol w:w="2126"/>
        <w:gridCol w:w="4248"/>
        <w:gridCol w:w="4609"/>
      </w:tblGrid>
      <w:tr w:rsidR="003D16B0" w:rsidRPr="000C6236" w:rsidTr="003D16B0">
        <w:tc>
          <w:tcPr>
            <w:tcW w:w="816" w:type="dxa"/>
            <w:shd w:val="clear" w:color="auto" w:fill="DBE5F1" w:themeFill="accent1" w:themeFillTint="33"/>
            <w:vAlign w:val="center"/>
          </w:tcPr>
          <w:p w:rsidR="003D16B0" w:rsidRPr="000C6236" w:rsidRDefault="003D16B0" w:rsidP="009D32A8">
            <w:pPr>
              <w:jc w:val="center"/>
              <w:rPr>
                <w:rFonts w:cstheme="minorHAnsi"/>
              </w:rPr>
            </w:pPr>
            <w:r w:rsidRPr="000C6236">
              <w:rPr>
                <w:rFonts w:cstheme="minorHAnsi"/>
              </w:rPr>
              <w:t>Redni broj</w:t>
            </w:r>
          </w:p>
        </w:tc>
        <w:tc>
          <w:tcPr>
            <w:tcW w:w="2421" w:type="dxa"/>
            <w:shd w:val="clear" w:color="auto" w:fill="DBE5F1" w:themeFill="accent1" w:themeFillTint="33"/>
            <w:vAlign w:val="center"/>
          </w:tcPr>
          <w:p w:rsidR="003D16B0" w:rsidRPr="000C6236" w:rsidRDefault="003D16B0" w:rsidP="009D32A8">
            <w:pPr>
              <w:jc w:val="center"/>
              <w:rPr>
                <w:rFonts w:cstheme="minorHAnsi"/>
              </w:rPr>
            </w:pPr>
            <w:r w:rsidRPr="000C6236">
              <w:rPr>
                <w:rFonts w:cstheme="minorHAnsi"/>
              </w:rPr>
              <w:t>Naziv dionika (pojedinac, organizacija, institucija)</w:t>
            </w:r>
          </w:p>
        </w:tc>
        <w:tc>
          <w:tcPr>
            <w:tcW w:w="2126" w:type="dxa"/>
            <w:shd w:val="clear" w:color="auto" w:fill="DBE5F1" w:themeFill="accent1" w:themeFillTint="33"/>
            <w:vAlign w:val="center"/>
          </w:tcPr>
          <w:p w:rsidR="003D16B0" w:rsidRPr="000C6236" w:rsidRDefault="003D16B0" w:rsidP="009D32A8">
            <w:pPr>
              <w:jc w:val="center"/>
              <w:rPr>
                <w:rFonts w:cstheme="minorHAnsi"/>
              </w:rPr>
            </w:pPr>
            <w:r w:rsidRPr="000C6236">
              <w:rPr>
                <w:rFonts w:cstheme="minorHAnsi"/>
              </w:rPr>
              <w:t>Članak na koji se odnosi primjedba/prijedlog</w:t>
            </w:r>
          </w:p>
        </w:tc>
        <w:tc>
          <w:tcPr>
            <w:tcW w:w="4248" w:type="dxa"/>
            <w:shd w:val="clear" w:color="auto" w:fill="DBE5F1" w:themeFill="accent1" w:themeFillTint="33"/>
            <w:vAlign w:val="center"/>
          </w:tcPr>
          <w:p w:rsidR="003D16B0" w:rsidRPr="000C6236" w:rsidRDefault="003D16B0" w:rsidP="009D32A8">
            <w:pPr>
              <w:jc w:val="center"/>
              <w:rPr>
                <w:rFonts w:cstheme="minorHAnsi"/>
              </w:rPr>
            </w:pPr>
            <w:r w:rsidRPr="000C6236">
              <w:rPr>
                <w:rFonts w:cstheme="minorHAnsi"/>
              </w:rPr>
              <w:t>Tekst primjedbe/prijedloga</w:t>
            </w:r>
          </w:p>
        </w:tc>
        <w:tc>
          <w:tcPr>
            <w:tcW w:w="4609" w:type="dxa"/>
            <w:shd w:val="clear" w:color="auto" w:fill="DBE5F1" w:themeFill="accent1" w:themeFillTint="33"/>
            <w:vAlign w:val="center"/>
          </w:tcPr>
          <w:p w:rsidR="003D16B0" w:rsidRPr="000C6236" w:rsidRDefault="003D16B0" w:rsidP="009D32A8">
            <w:pPr>
              <w:jc w:val="center"/>
              <w:rPr>
                <w:rFonts w:cstheme="minorHAnsi"/>
              </w:rPr>
            </w:pPr>
            <w:r w:rsidRPr="000C6236">
              <w:rPr>
                <w:rFonts w:cstheme="minorHAnsi"/>
              </w:rPr>
              <w:t>Razlog prihvaćanja/neprihvaćanja prijedloga ili primjedbe</w:t>
            </w:r>
          </w:p>
        </w:tc>
      </w:tr>
      <w:tr w:rsidR="003D16B0" w:rsidRPr="000C6236" w:rsidTr="00FC3DCF">
        <w:trPr>
          <w:trHeight w:val="1984"/>
        </w:trPr>
        <w:tc>
          <w:tcPr>
            <w:tcW w:w="816" w:type="dxa"/>
            <w:vAlign w:val="center"/>
          </w:tcPr>
          <w:p w:rsidR="003D16B0" w:rsidRPr="000C6236" w:rsidRDefault="003D16B0" w:rsidP="009D32A8">
            <w:pPr>
              <w:rPr>
                <w:rFonts w:cstheme="minorHAnsi"/>
              </w:rPr>
            </w:pPr>
            <w:r w:rsidRPr="000C6236">
              <w:rPr>
                <w:rFonts w:cstheme="minorHAnsi"/>
              </w:rPr>
              <w:t>1.</w:t>
            </w:r>
          </w:p>
        </w:tc>
        <w:tc>
          <w:tcPr>
            <w:tcW w:w="2421" w:type="dxa"/>
            <w:vAlign w:val="center"/>
          </w:tcPr>
          <w:p w:rsidR="003D16B0" w:rsidRDefault="003D16B0" w:rsidP="004B1981">
            <w:pPr>
              <w:rPr>
                <w:rFonts w:cstheme="minorHAnsi"/>
              </w:rPr>
            </w:pPr>
            <w:r>
              <w:rPr>
                <w:rFonts w:cstheme="minorHAnsi"/>
              </w:rPr>
              <w:t xml:space="preserve">Željka </w:t>
            </w:r>
            <w:proofErr w:type="spellStart"/>
            <w:r>
              <w:rPr>
                <w:rFonts w:cstheme="minorHAnsi"/>
              </w:rPr>
              <w:t>Vrbanec</w:t>
            </w:r>
            <w:proofErr w:type="spellEnd"/>
            <w:r>
              <w:rPr>
                <w:rFonts w:cstheme="minorHAnsi"/>
              </w:rPr>
              <w:t>, savjetnica u ODO u Kutini</w:t>
            </w:r>
          </w:p>
        </w:tc>
        <w:tc>
          <w:tcPr>
            <w:tcW w:w="2126" w:type="dxa"/>
            <w:vAlign w:val="center"/>
          </w:tcPr>
          <w:p w:rsidR="003D16B0" w:rsidRDefault="003D16B0" w:rsidP="003D16B0">
            <w:pPr>
              <w:rPr>
                <w:rFonts w:cstheme="minorHAnsi"/>
              </w:rPr>
            </w:pPr>
            <w:r>
              <w:rPr>
                <w:rFonts w:cstheme="minorHAnsi"/>
              </w:rPr>
              <w:t xml:space="preserve">Svi članci vezani za Državnu školu za pravosudne dužnosnike, psihološko testiranje savjetnika i sl. </w:t>
            </w:r>
          </w:p>
        </w:tc>
        <w:tc>
          <w:tcPr>
            <w:tcW w:w="4248" w:type="dxa"/>
          </w:tcPr>
          <w:p w:rsidR="003D16B0" w:rsidRDefault="003D16B0" w:rsidP="00FC3DCF">
            <w:pPr>
              <w:jc w:val="both"/>
              <w:rPr>
                <w:rFonts w:cstheme="minorHAnsi"/>
              </w:rPr>
            </w:pPr>
            <w:r>
              <w:rPr>
                <w:rFonts w:cstheme="minorHAnsi"/>
              </w:rPr>
              <w:t>Predlaže se ukidanje Državne škole za pravosudne dužnosnike kao uvjeta za imenovanje na mjesto zamjenika općinskog državnog odvjetnika te izjednačavanje savjetnika sa završenom Državnom školom sa savjetnicima koji je nisu završili, a imaju dvostruko više staža na savjetničko</w:t>
            </w:r>
            <w:r w:rsidR="006754B9">
              <w:rPr>
                <w:rFonts w:cstheme="minorHAnsi"/>
              </w:rPr>
              <w:t>m</w:t>
            </w:r>
            <w:r>
              <w:rPr>
                <w:rFonts w:cstheme="minorHAnsi"/>
              </w:rPr>
              <w:t xml:space="preserve"> mjestu.</w:t>
            </w:r>
          </w:p>
        </w:tc>
        <w:tc>
          <w:tcPr>
            <w:tcW w:w="4609" w:type="dxa"/>
          </w:tcPr>
          <w:p w:rsidR="003D16B0" w:rsidRDefault="0011054D" w:rsidP="0011054D">
            <w:pPr>
              <w:rPr>
                <w:rFonts w:cstheme="minorHAnsi"/>
              </w:rPr>
            </w:pPr>
            <w:r>
              <w:rPr>
                <w:rFonts w:cstheme="minorHAnsi"/>
              </w:rPr>
              <w:t>N</w:t>
            </w:r>
            <w:r w:rsidR="003D16B0" w:rsidRPr="0011054D">
              <w:rPr>
                <w:rFonts w:cstheme="minorHAnsi"/>
              </w:rPr>
              <w:t>e prihvaća se</w:t>
            </w:r>
            <w:r>
              <w:rPr>
                <w:rFonts w:cstheme="minorHAnsi"/>
              </w:rPr>
              <w:t>.</w:t>
            </w:r>
          </w:p>
          <w:p w:rsidR="00501931" w:rsidRDefault="0011054D" w:rsidP="00501931">
            <w:pPr>
              <w:jc w:val="both"/>
              <w:rPr>
                <w:rFonts w:cstheme="minorHAnsi"/>
                <w:highlight w:val="yellow"/>
              </w:rPr>
            </w:pPr>
            <w:bookmarkStart w:id="0" w:name="_GoBack"/>
            <w:bookmarkEnd w:id="0"/>
            <w:r>
              <w:rPr>
                <w:rFonts w:cstheme="minorHAnsi"/>
              </w:rPr>
              <w:t>P</w:t>
            </w:r>
            <w:r w:rsidRPr="0011054D">
              <w:rPr>
                <w:rFonts w:cstheme="minorHAnsi"/>
              </w:rPr>
              <w:t>reporuk</w:t>
            </w:r>
            <w:r>
              <w:rPr>
                <w:rFonts w:cstheme="minorHAnsi"/>
              </w:rPr>
              <w:t>a</w:t>
            </w:r>
            <w:r w:rsidRPr="0011054D">
              <w:rPr>
                <w:rFonts w:cstheme="minorHAnsi"/>
              </w:rPr>
              <w:t xml:space="preserve"> Vijeća Europe broj R (94) Vijeća Ministara državama članicama o neovisnosti, učinkovitosti i ulozi sudaca od 13. listopada 1994</w:t>
            </w:r>
            <w:r w:rsidR="00501931" w:rsidRPr="00501931">
              <w:rPr>
                <w:rFonts w:cstheme="minorHAnsi"/>
              </w:rPr>
              <w:t>. propisuje da države članice trebaju omogućiti odgovarajuću obuku kandidatima za pravosudne dužnosti prije njihovog imenovanja. Prema ovoj preporuci sve zemlje članice EU ustrojile su posebne oblike pripreme i edukacije kandidata za pravosudne dužnosnike.</w:t>
            </w:r>
            <w:r w:rsidR="00501931">
              <w:rPr>
                <w:rFonts w:cstheme="minorHAnsi"/>
                <w:highlight w:val="yellow"/>
              </w:rPr>
              <w:t xml:space="preserve"> </w:t>
            </w:r>
          </w:p>
          <w:p w:rsidR="0011054D" w:rsidRPr="0011054D" w:rsidRDefault="0011054D" w:rsidP="00FB4671">
            <w:pPr>
              <w:jc w:val="both"/>
              <w:rPr>
                <w:rFonts w:cstheme="minorHAnsi"/>
              </w:rPr>
            </w:pPr>
            <w:r>
              <w:rPr>
                <w:rFonts w:cstheme="minorHAnsi"/>
              </w:rPr>
              <w:t xml:space="preserve">S obzirom da je </w:t>
            </w:r>
            <w:r w:rsidRPr="0011054D">
              <w:rPr>
                <w:rFonts w:cstheme="minorHAnsi"/>
              </w:rPr>
              <w:t xml:space="preserve">spomenuta Preporuka broj R (94) sastavni dio pravne stečevine Europske unije (tzv. soft </w:t>
            </w:r>
            <w:proofErr w:type="spellStart"/>
            <w:r w:rsidRPr="0011054D">
              <w:rPr>
                <w:rFonts w:cstheme="minorHAnsi"/>
              </w:rPr>
              <w:t>acquis</w:t>
            </w:r>
            <w:proofErr w:type="spellEnd"/>
            <w:r w:rsidRPr="0011054D">
              <w:rPr>
                <w:rFonts w:cstheme="minorHAnsi"/>
              </w:rPr>
              <w:t>-a)</w:t>
            </w:r>
            <w:r>
              <w:rPr>
                <w:rFonts w:cstheme="minorHAnsi"/>
              </w:rPr>
              <w:t>,</w:t>
            </w:r>
            <w:r w:rsidRPr="0011054D">
              <w:rPr>
                <w:rFonts w:cstheme="minorHAnsi"/>
              </w:rPr>
              <w:t xml:space="preserve"> što proizlazi iz Izvješća o analitičkom pregledu hrvatskog zakonodavstva u Poglavlju 23. Pravosuđe i temeljna prava br. MD 210/07 od 27. lipnja 2007. godine, </w:t>
            </w:r>
            <w:r>
              <w:rPr>
                <w:rFonts w:cstheme="minorHAnsi"/>
              </w:rPr>
              <w:t xml:space="preserve">Državnu školu za pravosudne dužnosnike potrebno je zadržati </w:t>
            </w:r>
            <w:r w:rsidR="00FB4671">
              <w:rPr>
                <w:rFonts w:cstheme="minorHAnsi"/>
              </w:rPr>
              <w:t xml:space="preserve">radi </w:t>
            </w:r>
            <w:r w:rsidRPr="0011054D">
              <w:rPr>
                <w:rFonts w:cstheme="minorHAnsi"/>
              </w:rPr>
              <w:t>priprem</w:t>
            </w:r>
            <w:r w:rsidR="00FB4671">
              <w:rPr>
                <w:rFonts w:cstheme="minorHAnsi"/>
              </w:rPr>
              <w:t>e</w:t>
            </w:r>
            <w:r w:rsidRPr="0011054D">
              <w:rPr>
                <w:rFonts w:cstheme="minorHAnsi"/>
              </w:rPr>
              <w:t xml:space="preserve"> i obuk</w:t>
            </w:r>
            <w:r w:rsidR="00FB4671">
              <w:rPr>
                <w:rFonts w:cstheme="minorHAnsi"/>
              </w:rPr>
              <w:t>e</w:t>
            </w:r>
            <w:r w:rsidRPr="0011054D">
              <w:rPr>
                <w:rFonts w:cstheme="minorHAnsi"/>
              </w:rPr>
              <w:t xml:space="preserve"> kandidata za buduće suce odnosno zamjenike državnih odvjetnika. </w:t>
            </w:r>
          </w:p>
          <w:p w:rsidR="00FB4671" w:rsidRDefault="00FB4671" w:rsidP="00FB4671">
            <w:pPr>
              <w:jc w:val="both"/>
              <w:rPr>
                <w:rFonts w:cstheme="minorHAnsi"/>
              </w:rPr>
            </w:pPr>
            <w:r>
              <w:rPr>
                <w:rFonts w:cstheme="minorHAnsi"/>
              </w:rPr>
              <w:t xml:space="preserve">Predloženim člankom 33.a </w:t>
            </w:r>
            <w:r w:rsidR="00547C50">
              <w:rPr>
                <w:rFonts w:cstheme="minorHAnsi"/>
              </w:rPr>
              <w:t xml:space="preserve">Nacrta </w:t>
            </w:r>
            <w:r>
              <w:rPr>
                <w:rFonts w:cstheme="minorHAnsi"/>
              </w:rPr>
              <w:t xml:space="preserve">otvara se mogućnost da se za mjesta sudaca i zamjenika </w:t>
            </w:r>
            <w:r>
              <w:rPr>
                <w:rFonts w:cstheme="minorHAnsi"/>
              </w:rPr>
              <w:lastRenderedPageBreak/>
              <w:t xml:space="preserve">državnih odvjetnika u prvom stupnju natječu i kandidati koji nisu pohađali Državnu školu, a koji već imaju </w:t>
            </w:r>
            <w:r w:rsidRPr="00FB4671">
              <w:rPr>
                <w:rFonts w:cstheme="minorHAnsi"/>
              </w:rPr>
              <w:t xml:space="preserve">određeno radno iskustvo i radni staž </w:t>
            </w:r>
            <w:r>
              <w:rPr>
                <w:rFonts w:cstheme="minorHAnsi"/>
              </w:rPr>
              <w:t>koji se mo</w:t>
            </w:r>
            <w:r w:rsidR="0024035C">
              <w:rPr>
                <w:rFonts w:cstheme="minorHAnsi"/>
              </w:rPr>
              <w:t>gu</w:t>
            </w:r>
            <w:r>
              <w:rPr>
                <w:rFonts w:cstheme="minorHAnsi"/>
              </w:rPr>
              <w:t xml:space="preserve"> </w:t>
            </w:r>
            <w:r w:rsidRPr="00FB4671">
              <w:rPr>
                <w:rFonts w:cstheme="minorHAnsi"/>
              </w:rPr>
              <w:t>izjednačiti sa znanjima i vještinama koje se stječu u Državnoj školi za pravosudne dužnosnike</w:t>
            </w:r>
            <w:r>
              <w:rPr>
                <w:rFonts w:cstheme="minorHAnsi"/>
              </w:rPr>
              <w:t>.</w:t>
            </w:r>
          </w:p>
          <w:p w:rsidR="003D16B0" w:rsidRPr="00BF12DA" w:rsidRDefault="00FB4671" w:rsidP="00FB4671">
            <w:pPr>
              <w:jc w:val="both"/>
              <w:rPr>
                <w:rFonts w:cstheme="minorHAnsi"/>
              </w:rPr>
            </w:pPr>
            <w:r>
              <w:rPr>
                <w:rFonts w:cstheme="minorHAnsi"/>
              </w:rPr>
              <w:t>Kako bi se stečeno radno iskustvo moglo izjednačiti sa znanjima i vještinama stečenim pohađanjem Škole, nužno je provesti posebnu provjeru odnosno odrediti polaganje završnog ispita.</w:t>
            </w:r>
          </w:p>
        </w:tc>
      </w:tr>
    </w:tbl>
    <w:p w:rsidR="003D16B0" w:rsidRDefault="003D16B0" w:rsidP="003D16B0"/>
    <w:p w:rsidR="009A229C" w:rsidRDefault="009A229C"/>
    <w:sectPr w:rsidR="009A229C" w:rsidSect="006919F1">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5272C"/>
    <w:multiLevelType w:val="hybridMultilevel"/>
    <w:tmpl w:val="7E143134"/>
    <w:lvl w:ilvl="0" w:tplc="D9E6FA9A">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D16B0"/>
    <w:rsid w:val="00043243"/>
    <w:rsid w:val="0011054D"/>
    <w:rsid w:val="00224513"/>
    <w:rsid w:val="00237D03"/>
    <w:rsid w:val="0024035C"/>
    <w:rsid w:val="00244018"/>
    <w:rsid w:val="00360E77"/>
    <w:rsid w:val="003D16B0"/>
    <w:rsid w:val="00435AFF"/>
    <w:rsid w:val="00501931"/>
    <w:rsid w:val="00547C50"/>
    <w:rsid w:val="006754B9"/>
    <w:rsid w:val="0072553A"/>
    <w:rsid w:val="00786F56"/>
    <w:rsid w:val="00860AEB"/>
    <w:rsid w:val="009A229C"/>
    <w:rsid w:val="009F5B10"/>
    <w:rsid w:val="00CC482D"/>
    <w:rsid w:val="00D43CEF"/>
    <w:rsid w:val="00E23F68"/>
    <w:rsid w:val="00F82CD5"/>
    <w:rsid w:val="00FB4671"/>
    <w:rsid w:val="00FC3DC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6B0"/>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3D1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rednjesjenanje1-Isticanje1">
    <w:name w:val="Medium Shading 1 Accent 1"/>
    <w:basedOn w:val="Obinatablica"/>
    <w:uiPriority w:val="63"/>
    <w:rsid w:val="003D16B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Odlomakpopisa">
    <w:name w:val="List Paragraph"/>
    <w:basedOn w:val="Normal"/>
    <w:uiPriority w:val="34"/>
    <w:qFormat/>
    <w:rsid w:val="003D16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371</Words>
  <Characters>2117</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Milić</dc:creator>
  <cp:lastModifiedBy>Nikolina Milić</cp:lastModifiedBy>
  <cp:revision>8</cp:revision>
  <dcterms:created xsi:type="dcterms:W3CDTF">2015-03-08T08:30:00Z</dcterms:created>
  <dcterms:modified xsi:type="dcterms:W3CDTF">2015-03-18T22:52:00Z</dcterms:modified>
</cp:coreProperties>
</file>